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2FB" w:rsidRPr="00E372FB" w:rsidRDefault="00E372FB" w:rsidP="00E372FB">
      <w:pPr>
        <w:widowControl/>
        <w:snapToGrid w:val="0"/>
        <w:spacing w:line="240" w:lineRule="auto"/>
        <w:jc w:val="center"/>
        <w:rPr>
          <w:rFonts w:ascii="Calibri" w:hAnsi="Calibri" w:cs="宋体"/>
          <w:b/>
          <w:bCs/>
          <w:color w:val="000000"/>
          <w:kern w:val="0"/>
          <w:sz w:val="30"/>
          <w:szCs w:val="30"/>
        </w:rPr>
      </w:pPr>
      <w:r w:rsidRPr="00E372FB">
        <w:rPr>
          <w:rFonts w:ascii="宋体" w:hAnsi="宋体" w:cs="宋体" w:hint="eastAsia"/>
          <w:b/>
          <w:bCs/>
          <w:color w:val="000000"/>
          <w:kern w:val="0"/>
          <w:sz w:val="30"/>
        </w:rPr>
        <w:t>南昌市</w:t>
      </w:r>
      <w:r w:rsidRPr="00E372FB">
        <w:rPr>
          <w:rFonts w:ascii="宋体" w:hAnsi="宋体" w:cs="宋体"/>
          <w:b/>
          <w:bCs/>
          <w:color w:val="000000"/>
          <w:kern w:val="0"/>
          <w:sz w:val="30"/>
        </w:rPr>
        <w:t>物业管理示范大厦标准及评分细则</w:t>
      </w:r>
    </w:p>
    <w:tbl>
      <w:tblPr>
        <w:tblW w:w="0" w:type="auto"/>
        <w:jc w:val="center"/>
        <w:tblCellMar>
          <w:top w:w="15" w:type="dxa"/>
          <w:left w:w="15" w:type="dxa"/>
          <w:bottom w:w="15" w:type="dxa"/>
          <w:right w:w="15" w:type="dxa"/>
        </w:tblCellMar>
        <w:tblLook w:val="04A0"/>
      </w:tblPr>
      <w:tblGrid>
        <w:gridCol w:w="457"/>
        <w:gridCol w:w="3619"/>
        <w:gridCol w:w="694"/>
        <w:gridCol w:w="3081"/>
        <w:gridCol w:w="671"/>
      </w:tblGrid>
      <w:tr w:rsidR="00E372FB" w:rsidRPr="00E372FB" w:rsidTr="00E372FB">
        <w:trPr>
          <w:jc w:val="center"/>
        </w:trPr>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372FB" w:rsidRPr="00E372FB" w:rsidRDefault="00E372FB" w:rsidP="00E372FB">
            <w:pPr>
              <w:widowControl/>
              <w:snapToGrid w:val="0"/>
              <w:spacing w:line="240" w:lineRule="auto"/>
              <w:jc w:val="left"/>
              <w:rPr>
                <w:rFonts w:ascii="宋体" w:hAnsi="宋体" w:cs="宋体"/>
                <w:b/>
                <w:bCs/>
                <w:color w:val="000000"/>
                <w:kern w:val="0"/>
                <w:sz w:val="24"/>
                <w:szCs w:val="24"/>
              </w:rPr>
            </w:pPr>
            <w:r w:rsidRPr="00E372FB">
              <w:rPr>
                <w:rFonts w:ascii="宋体" w:hAnsi="宋体" w:cs="宋体" w:hint="eastAsia"/>
                <w:b/>
                <w:bCs/>
                <w:color w:val="000000"/>
                <w:kern w:val="0"/>
                <w:sz w:val="24"/>
                <w:szCs w:val="24"/>
              </w:rPr>
              <w:t>序号</w:t>
            </w:r>
          </w:p>
        </w:tc>
        <w:tc>
          <w:tcPr>
            <w:tcW w:w="423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E372FB" w:rsidRPr="00E372FB" w:rsidRDefault="00E372FB" w:rsidP="00E372FB">
            <w:pPr>
              <w:widowControl/>
              <w:snapToGrid w:val="0"/>
              <w:spacing w:line="240" w:lineRule="auto"/>
              <w:jc w:val="center"/>
              <w:rPr>
                <w:rFonts w:ascii="宋体" w:hAnsi="宋体" w:cs="宋体"/>
                <w:b/>
                <w:bCs/>
                <w:color w:val="000000"/>
                <w:kern w:val="0"/>
                <w:sz w:val="24"/>
                <w:szCs w:val="24"/>
              </w:rPr>
            </w:pPr>
            <w:r w:rsidRPr="00E372FB">
              <w:rPr>
                <w:rFonts w:ascii="宋体" w:hAnsi="宋体" w:cs="宋体" w:hint="eastAsia"/>
                <w:b/>
                <w:bCs/>
                <w:color w:val="000000"/>
                <w:kern w:val="0"/>
                <w:sz w:val="24"/>
                <w:szCs w:val="24"/>
              </w:rPr>
              <w:t>标准内容</w:t>
            </w:r>
          </w:p>
        </w:tc>
        <w:tc>
          <w:tcPr>
            <w:tcW w:w="72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E372FB" w:rsidRPr="00E372FB" w:rsidRDefault="00E372FB" w:rsidP="00E372FB">
            <w:pPr>
              <w:widowControl/>
              <w:snapToGrid w:val="0"/>
              <w:spacing w:line="240" w:lineRule="auto"/>
              <w:jc w:val="center"/>
              <w:rPr>
                <w:rFonts w:ascii="宋体" w:hAnsi="宋体" w:cs="宋体"/>
                <w:b/>
                <w:bCs/>
                <w:color w:val="000000"/>
                <w:kern w:val="0"/>
                <w:sz w:val="24"/>
                <w:szCs w:val="24"/>
              </w:rPr>
            </w:pPr>
            <w:r w:rsidRPr="00E372FB">
              <w:rPr>
                <w:rFonts w:ascii="宋体" w:hAnsi="宋体" w:cs="宋体" w:hint="eastAsia"/>
                <w:b/>
                <w:bCs/>
                <w:color w:val="000000"/>
                <w:kern w:val="0"/>
                <w:sz w:val="24"/>
                <w:szCs w:val="24"/>
              </w:rPr>
              <w:t>规定</w:t>
            </w:r>
          </w:p>
          <w:p w:rsidR="00E372FB" w:rsidRPr="00E372FB" w:rsidRDefault="00E372FB" w:rsidP="00E372FB">
            <w:pPr>
              <w:widowControl/>
              <w:snapToGrid w:val="0"/>
              <w:spacing w:line="240" w:lineRule="auto"/>
              <w:jc w:val="center"/>
              <w:rPr>
                <w:rFonts w:ascii="宋体" w:hAnsi="宋体" w:cs="宋体"/>
                <w:b/>
                <w:bCs/>
                <w:color w:val="000000"/>
                <w:kern w:val="0"/>
                <w:sz w:val="24"/>
                <w:szCs w:val="24"/>
              </w:rPr>
            </w:pPr>
            <w:r w:rsidRPr="00E372FB">
              <w:rPr>
                <w:rFonts w:ascii="宋体" w:hAnsi="宋体" w:cs="宋体" w:hint="eastAsia"/>
                <w:b/>
                <w:bCs/>
                <w:color w:val="000000"/>
                <w:kern w:val="0"/>
                <w:sz w:val="24"/>
                <w:szCs w:val="24"/>
              </w:rPr>
              <w:t>分值</w:t>
            </w:r>
          </w:p>
        </w:tc>
        <w:tc>
          <w:tcPr>
            <w:tcW w:w="359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E372FB" w:rsidRPr="00E372FB" w:rsidRDefault="00E372FB" w:rsidP="00E372FB">
            <w:pPr>
              <w:widowControl/>
              <w:snapToGrid w:val="0"/>
              <w:spacing w:line="240" w:lineRule="auto"/>
              <w:jc w:val="center"/>
              <w:rPr>
                <w:rFonts w:ascii="宋体" w:hAnsi="宋体" w:cs="宋体"/>
                <w:b/>
                <w:bCs/>
                <w:color w:val="000000"/>
                <w:kern w:val="0"/>
                <w:sz w:val="24"/>
                <w:szCs w:val="24"/>
              </w:rPr>
            </w:pPr>
            <w:r w:rsidRPr="00E372FB">
              <w:rPr>
                <w:rFonts w:ascii="宋体" w:hAnsi="宋体" w:cs="宋体" w:hint="eastAsia"/>
                <w:b/>
                <w:bCs/>
                <w:color w:val="000000"/>
                <w:kern w:val="0"/>
                <w:sz w:val="24"/>
                <w:szCs w:val="24"/>
              </w:rPr>
              <w:t>评分细则</w:t>
            </w:r>
          </w:p>
        </w:tc>
        <w:tc>
          <w:tcPr>
            <w:tcW w:w="72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E372FB" w:rsidRPr="00E372FB" w:rsidRDefault="00E372FB" w:rsidP="00E372FB">
            <w:pPr>
              <w:widowControl/>
              <w:snapToGrid w:val="0"/>
              <w:spacing w:line="240" w:lineRule="auto"/>
              <w:jc w:val="center"/>
              <w:rPr>
                <w:rFonts w:ascii="宋体" w:hAnsi="宋体" w:cs="宋体"/>
                <w:b/>
                <w:bCs/>
                <w:color w:val="000000"/>
                <w:kern w:val="0"/>
                <w:sz w:val="24"/>
                <w:szCs w:val="24"/>
              </w:rPr>
            </w:pPr>
            <w:r w:rsidRPr="00E372FB">
              <w:rPr>
                <w:rFonts w:ascii="宋体" w:hAnsi="宋体" w:cs="宋体" w:hint="eastAsia"/>
                <w:b/>
                <w:bCs/>
                <w:color w:val="000000"/>
                <w:kern w:val="0"/>
                <w:sz w:val="24"/>
                <w:szCs w:val="24"/>
              </w:rPr>
              <w:t>考评</w:t>
            </w:r>
          </w:p>
          <w:p w:rsidR="00E372FB" w:rsidRPr="00E372FB" w:rsidRDefault="00E372FB" w:rsidP="00E372FB">
            <w:pPr>
              <w:widowControl/>
              <w:snapToGrid w:val="0"/>
              <w:spacing w:line="240" w:lineRule="auto"/>
              <w:jc w:val="center"/>
              <w:rPr>
                <w:rFonts w:ascii="宋体" w:hAnsi="宋体" w:cs="宋体"/>
                <w:b/>
                <w:bCs/>
                <w:color w:val="000000"/>
                <w:kern w:val="0"/>
                <w:sz w:val="24"/>
                <w:szCs w:val="24"/>
              </w:rPr>
            </w:pPr>
            <w:r w:rsidRPr="00E372FB">
              <w:rPr>
                <w:rFonts w:ascii="宋体" w:hAnsi="宋体" w:cs="宋体" w:hint="eastAsia"/>
                <w:b/>
                <w:bCs/>
                <w:color w:val="000000"/>
                <w:kern w:val="0"/>
                <w:sz w:val="24"/>
                <w:szCs w:val="24"/>
              </w:rPr>
              <w:t>分值</w:t>
            </w:r>
          </w:p>
        </w:tc>
      </w:tr>
      <w:tr w:rsidR="00E372FB" w:rsidRPr="00E372FB" w:rsidTr="00E372FB">
        <w:trPr>
          <w:jc w:val="center"/>
        </w:trPr>
        <w:tc>
          <w:tcPr>
            <w:tcW w:w="44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372FB" w:rsidRPr="00E372FB" w:rsidRDefault="00E372FB" w:rsidP="00E372FB">
            <w:pPr>
              <w:widowControl/>
              <w:snapToGrid w:val="0"/>
              <w:spacing w:line="240" w:lineRule="auto"/>
              <w:jc w:val="left"/>
              <w:rPr>
                <w:rFonts w:ascii="宋体" w:hAnsi="宋体" w:cs="宋体"/>
                <w:b/>
                <w:bCs/>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E372FB" w:rsidRPr="00E372FB" w:rsidRDefault="00E372FB" w:rsidP="00E372FB">
            <w:pPr>
              <w:widowControl/>
              <w:snapToGrid w:val="0"/>
              <w:spacing w:line="240" w:lineRule="auto"/>
              <w:jc w:val="center"/>
              <w:rPr>
                <w:rFonts w:ascii="宋体" w:hAnsi="宋体" w:cs="宋体"/>
                <w:b/>
                <w:bCs/>
                <w:color w:val="000000"/>
                <w:kern w:val="0"/>
                <w:sz w:val="24"/>
                <w:szCs w:val="24"/>
              </w:rPr>
            </w:pPr>
            <w:r w:rsidRPr="00E372FB">
              <w:rPr>
                <w:rFonts w:ascii="宋体" w:hAnsi="宋体" w:cs="宋体" w:hint="eastAsia"/>
                <w:b/>
                <w:bCs/>
                <w:color w:val="000000"/>
                <w:kern w:val="0"/>
                <w:sz w:val="24"/>
                <w:szCs w:val="24"/>
              </w:rPr>
              <w:t>总  分</w:t>
            </w:r>
          </w:p>
        </w:tc>
        <w:tc>
          <w:tcPr>
            <w:tcW w:w="720"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E372FB" w:rsidRPr="00E372FB" w:rsidRDefault="00E372FB" w:rsidP="00E372FB">
            <w:pPr>
              <w:widowControl/>
              <w:snapToGrid w:val="0"/>
              <w:spacing w:line="240" w:lineRule="auto"/>
              <w:jc w:val="center"/>
              <w:rPr>
                <w:rFonts w:ascii="宋体" w:hAnsi="宋体" w:cs="宋体"/>
                <w:b/>
                <w:bCs/>
                <w:color w:val="000000"/>
                <w:kern w:val="0"/>
                <w:sz w:val="24"/>
                <w:szCs w:val="24"/>
              </w:rPr>
            </w:pPr>
            <w:r w:rsidRPr="00E372FB">
              <w:rPr>
                <w:rFonts w:ascii="宋体" w:hAnsi="宋体" w:cs="宋体" w:hint="eastAsia"/>
                <w:b/>
                <w:bCs/>
                <w:color w:val="000000"/>
                <w:kern w:val="0"/>
                <w:sz w:val="24"/>
                <w:szCs w:val="24"/>
              </w:rPr>
              <w:t>100</w:t>
            </w:r>
          </w:p>
        </w:tc>
        <w:tc>
          <w:tcPr>
            <w:tcW w:w="3599"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E372FB" w:rsidRPr="00E372FB" w:rsidRDefault="00E372FB" w:rsidP="00E372FB">
            <w:pPr>
              <w:widowControl/>
              <w:snapToGrid w:val="0"/>
              <w:spacing w:line="240" w:lineRule="auto"/>
              <w:jc w:val="center"/>
              <w:rPr>
                <w:rFonts w:ascii="宋体" w:hAnsi="宋体" w:cs="宋体"/>
                <w:b/>
                <w:bCs/>
                <w:color w:val="000000"/>
                <w:kern w:val="0"/>
                <w:sz w:val="24"/>
                <w:szCs w:val="24"/>
              </w:rPr>
            </w:pPr>
          </w:p>
        </w:tc>
        <w:tc>
          <w:tcPr>
            <w:tcW w:w="720"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E372FB" w:rsidRPr="00E372FB" w:rsidRDefault="00E372FB" w:rsidP="00E372FB">
            <w:pPr>
              <w:widowControl/>
              <w:snapToGrid w:val="0"/>
              <w:spacing w:line="240" w:lineRule="auto"/>
              <w:jc w:val="center"/>
              <w:rPr>
                <w:rFonts w:ascii="宋体" w:hAnsi="宋体" w:cs="宋体"/>
                <w:b/>
                <w:bCs/>
                <w:color w:val="000000"/>
                <w:kern w:val="0"/>
                <w:sz w:val="24"/>
                <w:szCs w:val="24"/>
              </w:rPr>
            </w:pPr>
          </w:p>
        </w:tc>
      </w:tr>
      <w:tr w:rsidR="00E372FB" w:rsidRPr="00E372FB" w:rsidTr="00E372FB">
        <w:trPr>
          <w:jc w:val="center"/>
        </w:trPr>
        <w:tc>
          <w:tcPr>
            <w:tcW w:w="44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b/>
                <w:bCs/>
                <w:color w:val="000000"/>
                <w:kern w:val="0"/>
                <w:sz w:val="24"/>
                <w:szCs w:val="24"/>
              </w:rPr>
            </w:pPr>
            <w:r w:rsidRPr="00E372FB">
              <w:rPr>
                <w:rFonts w:ascii="宋体" w:hAnsi="宋体" w:cs="宋体" w:hint="eastAsia"/>
                <w:b/>
                <w:bCs/>
                <w:color w:val="000000"/>
                <w:kern w:val="0"/>
                <w:sz w:val="24"/>
                <w:szCs w:val="24"/>
              </w:rPr>
              <w:t>一</w:t>
            </w: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b/>
                <w:bCs/>
                <w:color w:val="000000"/>
                <w:kern w:val="0"/>
                <w:sz w:val="24"/>
                <w:szCs w:val="24"/>
              </w:rPr>
            </w:pPr>
            <w:r w:rsidRPr="00E372FB">
              <w:rPr>
                <w:rFonts w:ascii="宋体" w:hAnsi="宋体" w:cs="宋体" w:hint="eastAsia"/>
                <w:b/>
                <w:bCs/>
                <w:color w:val="000000"/>
                <w:kern w:val="0"/>
                <w:sz w:val="24"/>
                <w:szCs w:val="24"/>
              </w:rPr>
              <w:t>基础管理</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b/>
                <w:bCs/>
                <w:color w:val="000000"/>
                <w:kern w:val="0"/>
                <w:sz w:val="24"/>
                <w:szCs w:val="24"/>
              </w:rPr>
            </w:pPr>
            <w:r w:rsidRPr="00E372FB">
              <w:rPr>
                <w:rFonts w:ascii="宋体" w:hAnsi="宋体" w:cs="宋体" w:hint="eastAsia"/>
                <w:b/>
                <w:bCs/>
                <w:color w:val="000000"/>
                <w:kern w:val="0"/>
                <w:sz w:val="24"/>
                <w:szCs w:val="24"/>
              </w:rPr>
              <w:t>26</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 </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445"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1、按规划要求建设，房屋及配套设施投入使用</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2、已办理接管验收手续</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3、由一家物业管理企业实施统一专业化管理</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4、建设单位在租售大厦前，与选聘的物业管理企业签订</w:t>
            </w:r>
            <w:hyperlink r:id="rId4" w:history="1">
              <w:r w:rsidRPr="00E372FB">
                <w:rPr>
                  <w:rFonts w:ascii="宋体" w:hAnsi="宋体" w:cs="宋体" w:hint="eastAsia"/>
                  <w:color w:val="0000FF"/>
                  <w:kern w:val="0"/>
                  <w:sz w:val="24"/>
                  <w:u w:val="single"/>
                </w:rPr>
                <w:t>物业管理合同</w:t>
              </w:r>
            </w:hyperlink>
            <w:r w:rsidRPr="00E372FB">
              <w:rPr>
                <w:rFonts w:ascii="Calibri" w:hAnsi="Calibri" w:cs="宋体"/>
                <w:kern w:val="0"/>
                <w:szCs w:val="21"/>
              </w:rPr>
              <w:t>，双方责、权、利明确</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符合1.0，基本符合0.5,不符合0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5、在房屋销售合同签订时，购房人与开发建设单位或开发建设单位委托的物业管理企业签订前期物业管理服务协议，双方责、权、利明确</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符合1.0，基本符合0.5,不符合0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6、建立维修资金，其管理、使用、续筹符合有关规定</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0.5</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符合0.5，已建立但管理、使用、续筹不符合规定扣0.3，未建立0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7、房屋使用手则、装饰装修管理规定及业主与使用人公约等各项公众制度完善</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完善1.0，基本完善0.5，不完善0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8、业主委员会按规定程序成立，并按章程履行职责，与物业管理企业签订物业管理合同，双方责权利明确</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0.5</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符合0.5，基本符合0.3,不符合0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9、物业管理企业制订有符合实际的创优规划和具体实施方案</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trHeight w:val="2010"/>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10、建立健全物业管理各项管理制度、各岗位工作标准，并制定具体的落实措施和考核办法</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制度、工作标准建立健全0.5，主要检查：物业管理服务工作程序、质量保证制度、收费管理制度、财务制度、岗位考核制度等每发现一处不完整规范扣0.2；未制定具体的落实措施扣0.3，未制定考核办法扣0.3</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trHeight w:val="875"/>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11、物业管理企业的管理人员和专业技术人员持证上岗，需持有消防建（构）物消防员或管理员</w:t>
            </w:r>
            <w:r w:rsidRPr="00E372FB">
              <w:rPr>
                <w:rFonts w:ascii="宋体" w:hAnsi="宋体" w:cs="宋体" w:hint="eastAsia"/>
                <w:color w:val="000000"/>
                <w:kern w:val="0"/>
                <w:sz w:val="24"/>
                <w:szCs w:val="24"/>
              </w:rPr>
              <w:lastRenderedPageBreak/>
              <w:t>培训合格证2人以上；员工统一着装，佩戴明显标志，工作规范，作风严谨</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lastRenderedPageBreak/>
              <w:t>10</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项目经理无当年市物协继续教育证书扣5分。管理人员、专业技术人员每发现1</w:t>
            </w:r>
            <w:r w:rsidRPr="00E372FB">
              <w:rPr>
                <w:rFonts w:ascii="宋体" w:hAnsi="宋体" w:cs="宋体" w:hint="eastAsia"/>
                <w:color w:val="000000"/>
                <w:kern w:val="0"/>
                <w:sz w:val="24"/>
                <w:szCs w:val="24"/>
              </w:rPr>
              <w:lastRenderedPageBreak/>
              <w:t>人无上岗证书扣0.2；着装及标志符合0.5，不符合0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12、物业管理企业应用计算机、智能化设备等现代化管理手段，管理效率得到提高</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符合1.0，基本符合0.5,不符合0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13、物业管理企业在收费、财务管理、会计核算、税收等方面执行有关规定；至少每半年公开一次物业管理服务费用及维修资金收支情况</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执行有关规定0.5，未执行0；公开0.5，未公开0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14、房屋及其共用设施设备档案资料齐全，分类成册，管理完善，查阅方便</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包括房屋总平面图、地下管网图，房屋数量、种类、用途分类统计成册，房屋及共用设施设备大中修记录，共用设施设备的设计安装图纸资料和台帐。每发现一项不齐全或不完善扣0.1</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trHeight w:val="610"/>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15、建立住用户档案、房屋及其配套设施权属清册，查阅方便</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每发现一处不符合扣0.2</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16、建立24小时值班制度，设立服务电话，受理业主和使用人报修、求助、建议、问询、质疑、投诉等并及时处理，有回访制度和记录</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符合1.0，没有值班制度的扣0.5，未设服务电话扣0.5，发现一处处理不及时扣0.2，没有回访记录每次扣0.1</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17、定期向住用户发放物业管理服务工作征求意见单，并对意见及时整理和处理，满意率达90%以上</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符合1.0，满意率每降低1%扣0.1，扣完为止；不符合0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18、建立并落实维修服务承诺制，零修急修及时率98%以上、返修率不高于2%，并有回访记录</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建立并落实1.0，建立但未落实扣 0.5，未建立扣 1.0；及时率符合 0.5，每降低1个百分点扣0.1；返修率符合0.3，不符合0；回访记录完整0.2，记录不完整或无回访记录0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44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b/>
                <w:bCs/>
                <w:color w:val="000000"/>
                <w:kern w:val="0"/>
                <w:sz w:val="24"/>
                <w:szCs w:val="24"/>
              </w:rPr>
            </w:pPr>
            <w:r w:rsidRPr="00E372FB">
              <w:rPr>
                <w:rFonts w:ascii="宋体" w:hAnsi="宋体" w:cs="宋体" w:hint="eastAsia"/>
                <w:b/>
                <w:bCs/>
                <w:color w:val="000000"/>
                <w:kern w:val="0"/>
                <w:sz w:val="24"/>
                <w:szCs w:val="24"/>
              </w:rPr>
              <w:t>二</w:t>
            </w: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b/>
                <w:bCs/>
                <w:color w:val="000000"/>
                <w:kern w:val="0"/>
                <w:sz w:val="24"/>
                <w:szCs w:val="24"/>
              </w:rPr>
            </w:pPr>
            <w:r w:rsidRPr="00E372FB">
              <w:rPr>
                <w:rFonts w:ascii="宋体" w:hAnsi="宋体" w:cs="宋体" w:hint="eastAsia"/>
                <w:b/>
                <w:bCs/>
                <w:color w:val="000000"/>
                <w:kern w:val="0"/>
                <w:sz w:val="24"/>
                <w:szCs w:val="24"/>
              </w:rPr>
              <w:t>房屋管理及维修养护</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b/>
                <w:bCs/>
                <w:color w:val="000000"/>
                <w:kern w:val="0"/>
                <w:sz w:val="24"/>
                <w:szCs w:val="24"/>
              </w:rPr>
            </w:pPr>
            <w:r w:rsidRPr="00E372FB">
              <w:rPr>
                <w:rFonts w:ascii="宋体" w:hAnsi="宋体" w:cs="宋体" w:hint="eastAsia"/>
                <w:b/>
                <w:bCs/>
                <w:color w:val="000000"/>
                <w:kern w:val="0"/>
                <w:sz w:val="24"/>
                <w:szCs w:val="24"/>
              </w:rPr>
              <w:t>7</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 </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445"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1、大厦、栋号、楼层、房号标志明显，大堂内布置合理并设立引路方向平面图，驻大厦各单位名录标识在大堂内显著位置</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符合1.0，无示意图或发现一处标志不清或没有标志扣0.2</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2、无违反规划私搭乱建，无擅自改变房屋用途现象</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符合1.0，发现一处私搭乱建或擅自改变房屋用途均</w:t>
            </w:r>
            <w:r w:rsidRPr="00E372FB">
              <w:rPr>
                <w:rFonts w:ascii="宋体" w:hAnsi="宋体" w:cs="宋体" w:hint="eastAsia"/>
                <w:color w:val="000000"/>
                <w:kern w:val="0"/>
                <w:sz w:val="24"/>
                <w:szCs w:val="24"/>
              </w:rPr>
              <w:lastRenderedPageBreak/>
              <w:t>扣0.5</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3、大厦外观完好、整洁；外墙是建材贴面的，无脱落；是玻璃幕墙的，清洁明亮、无破损；是涂料的，无脱落、无污渍；无纸张乱贴、乱涂、乱画和乱悬挂现象</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p w:rsidR="00E372FB" w:rsidRPr="00E372FB" w:rsidRDefault="00E372FB" w:rsidP="00E372FB">
            <w:pPr>
              <w:widowControl/>
              <w:snapToGrid w:val="0"/>
              <w:spacing w:line="240" w:lineRule="auto"/>
              <w:rPr>
                <w:rFonts w:ascii="宋体" w:hAnsi="宋体" w:cs="宋体" w:hint="eastAsia"/>
                <w:color w:val="000000"/>
                <w:kern w:val="0"/>
                <w:szCs w:val="21"/>
              </w:rPr>
            </w:pPr>
          </w:p>
          <w:p w:rsidR="00E372FB" w:rsidRPr="00E372FB" w:rsidRDefault="00E372FB" w:rsidP="00E372FB">
            <w:pPr>
              <w:widowControl/>
              <w:snapToGrid w:val="0"/>
              <w:spacing w:line="240" w:lineRule="auto"/>
              <w:jc w:val="left"/>
              <w:rPr>
                <w:rFonts w:ascii="宋体" w:hAnsi="宋体" w:cs="宋体"/>
                <w:color w:val="000000"/>
                <w:kern w:val="0"/>
                <w:szCs w:val="21"/>
              </w:rPr>
            </w:pP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符合1.0，大厦外墙是建材贴面的每发现一处脱落扣0.2，是玻璃幕墙的每发现一处破损或不洁扣0.2，是涂料的每发现一处褪色不一致扣0.1；每发现一处纸张乱贴、乱涂、乱画和乱悬挂扣0.2</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4、室外招牌、广告牌、霓虹灯按规定设置，保持整洁统一美观，无安全隐患或破损</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符合1.0，未按规定设置0；按规定设置，但不整齐或有破损每处扣0.1，有安全隐患每处扣0.5</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5、空调安装位置统一，冷凝水集中收集，支架无锈蚀</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ind w:firstLine="240"/>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符合1.0，发现一处不符合扣0.1</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6、封闭阳台统一有序，色调一致，不超出外墙面；除建筑设计有要求外，不得安装外廊及户外防盗网、晾晒架、遮阳蓬等</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符合1.0，每发现一处不符合扣0.1</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7、大厦装饰装修符合规定，未发生危及房屋结构安全及拆改管线和损害他人利益的现象</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符合1.0，每发现一处不符合扣0.5</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44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b/>
                <w:bCs/>
                <w:color w:val="000000"/>
                <w:kern w:val="0"/>
                <w:sz w:val="24"/>
                <w:szCs w:val="24"/>
              </w:rPr>
            </w:pPr>
            <w:r w:rsidRPr="00E372FB">
              <w:rPr>
                <w:rFonts w:ascii="宋体" w:hAnsi="宋体" w:cs="宋体" w:hint="eastAsia"/>
                <w:b/>
                <w:bCs/>
                <w:color w:val="000000"/>
                <w:kern w:val="0"/>
                <w:sz w:val="24"/>
                <w:szCs w:val="24"/>
              </w:rPr>
              <w:t>三</w:t>
            </w: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b/>
                <w:bCs/>
                <w:color w:val="000000"/>
                <w:kern w:val="0"/>
                <w:sz w:val="24"/>
                <w:szCs w:val="24"/>
              </w:rPr>
            </w:pPr>
            <w:r w:rsidRPr="00E372FB">
              <w:rPr>
                <w:rFonts w:ascii="宋体" w:hAnsi="宋体" w:cs="宋体" w:hint="eastAsia"/>
                <w:b/>
                <w:bCs/>
                <w:color w:val="000000"/>
                <w:kern w:val="0"/>
                <w:sz w:val="24"/>
                <w:szCs w:val="24"/>
              </w:rPr>
              <w:t>共用设备管理</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b/>
                <w:bCs/>
                <w:color w:val="000000"/>
                <w:kern w:val="0"/>
                <w:sz w:val="24"/>
                <w:szCs w:val="24"/>
              </w:rPr>
            </w:pPr>
            <w:r w:rsidRPr="00E372FB">
              <w:rPr>
                <w:rFonts w:ascii="宋体" w:hAnsi="宋体" w:cs="宋体" w:hint="eastAsia"/>
                <w:b/>
                <w:bCs/>
                <w:color w:val="000000"/>
                <w:kern w:val="0"/>
                <w:sz w:val="24"/>
                <w:szCs w:val="24"/>
              </w:rPr>
              <w:t>34</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 </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445"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b/>
                <w:bCs/>
                <w:color w:val="000000"/>
                <w:kern w:val="0"/>
                <w:sz w:val="24"/>
                <w:szCs w:val="24"/>
              </w:rPr>
            </w:pPr>
            <w:r w:rsidRPr="00E372FB">
              <w:rPr>
                <w:rFonts w:ascii="宋体" w:hAnsi="宋体" w:cs="宋体" w:hint="eastAsia"/>
                <w:b/>
                <w:bCs/>
                <w:color w:val="000000"/>
                <w:kern w:val="0"/>
                <w:sz w:val="24"/>
                <w:szCs w:val="24"/>
              </w:rPr>
              <w:t>（一）综合要求</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b/>
                <w:bCs/>
                <w:color w:val="000000"/>
                <w:kern w:val="0"/>
                <w:sz w:val="24"/>
                <w:szCs w:val="24"/>
              </w:rPr>
            </w:pPr>
            <w:r w:rsidRPr="00E372FB">
              <w:rPr>
                <w:rFonts w:ascii="宋体" w:hAnsi="宋体" w:cs="宋体" w:hint="eastAsia"/>
                <w:b/>
                <w:bCs/>
                <w:color w:val="000000"/>
                <w:kern w:val="0"/>
                <w:sz w:val="24"/>
                <w:szCs w:val="24"/>
              </w:rPr>
              <w:t>4</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 </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1、制订岗位责任制、设备安全运行、定期巡回检查、维护保养、运行记录管理、维修档案等管理制度，并严格执行</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符合2.0，每发现一处不符合扣0.2</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2、设备及机房环境整洁，无杂物、灰尘，无鼠、虫害发生，机房环境符合设备要求</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符合1.0，发现一处不符合扣0.2</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3、配备所需专业技术人员，严格执行操作规程</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4、设备良好，运行正常，一年内无重大管理责任事故</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b/>
                <w:bCs/>
                <w:color w:val="000000"/>
                <w:kern w:val="0"/>
                <w:sz w:val="24"/>
                <w:szCs w:val="24"/>
              </w:rPr>
            </w:pPr>
            <w:r w:rsidRPr="00E372FB">
              <w:rPr>
                <w:rFonts w:ascii="宋体" w:hAnsi="宋体" w:cs="宋体" w:hint="eastAsia"/>
                <w:b/>
                <w:bCs/>
                <w:color w:val="000000"/>
                <w:kern w:val="0"/>
                <w:sz w:val="24"/>
                <w:szCs w:val="24"/>
              </w:rPr>
              <w:t>（二）供电系统</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b/>
                <w:bCs/>
                <w:color w:val="000000"/>
                <w:kern w:val="0"/>
                <w:sz w:val="24"/>
                <w:szCs w:val="24"/>
              </w:rPr>
            </w:pPr>
            <w:r w:rsidRPr="00E372FB">
              <w:rPr>
                <w:rFonts w:ascii="宋体" w:hAnsi="宋体" w:cs="宋体" w:hint="eastAsia"/>
                <w:b/>
                <w:bCs/>
                <w:color w:val="000000"/>
                <w:kern w:val="0"/>
                <w:sz w:val="24"/>
                <w:szCs w:val="24"/>
              </w:rPr>
              <w:t>3</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 </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1、保证正常供电，限电、停电有明确的审批权限并按规定时间通知住用户</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2、制订临时用电管理措施与停电应急处理措施并严格执行</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符合1.0，临时用电措施或停电应急措施不符合均扣0.5</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3、备用应急发电机，可随时起用</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b/>
                <w:bCs/>
                <w:color w:val="000000"/>
                <w:kern w:val="0"/>
                <w:sz w:val="24"/>
                <w:szCs w:val="24"/>
              </w:rPr>
            </w:pPr>
            <w:r w:rsidRPr="00E372FB">
              <w:rPr>
                <w:rFonts w:ascii="宋体" w:hAnsi="宋体" w:cs="宋体" w:hint="eastAsia"/>
                <w:b/>
                <w:bCs/>
                <w:color w:val="000000"/>
                <w:kern w:val="0"/>
                <w:sz w:val="24"/>
                <w:szCs w:val="24"/>
              </w:rPr>
              <w:t>（三）弱电系统</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b/>
                <w:bCs/>
                <w:color w:val="000000"/>
                <w:kern w:val="0"/>
                <w:sz w:val="24"/>
                <w:szCs w:val="24"/>
              </w:rPr>
            </w:pPr>
            <w:r w:rsidRPr="00E372FB">
              <w:rPr>
                <w:rFonts w:ascii="宋体" w:hAnsi="宋体" w:cs="宋体" w:hint="eastAsia"/>
                <w:b/>
                <w:bCs/>
                <w:color w:val="000000"/>
                <w:kern w:val="0"/>
                <w:sz w:val="24"/>
                <w:szCs w:val="24"/>
              </w:rPr>
              <w:t>2</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 </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1、按工作标准规定时间排除故障，保证各弱电系统正常工作</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符合1.0，发现一处不符合扣0.5</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2、监控系统等智能化设施设备运行正常，有记录，并按规定期限保存</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符合1.0，基本符合0.5，不符合0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b/>
                <w:bCs/>
                <w:color w:val="000000"/>
                <w:kern w:val="0"/>
                <w:sz w:val="24"/>
                <w:szCs w:val="24"/>
              </w:rPr>
            </w:pPr>
            <w:r w:rsidRPr="00E372FB">
              <w:rPr>
                <w:rFonts w:ascii="宋体" w:hAnsi="宋体" w:cs="宋体" w:hint="eastAsia"/>
                <w:b/>
                <w:bCs/>
                <w:color w:val="000000"/>
                <w:kern w:val="0"/>
                <w:sz w:val="24"/>
                <w:szCs w:val="24"/>
              </w:rPr>
              <w:t>（四）消防系统</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b/>
                <w:bCs/>
                <w:color w:val="000000"/>
                <w:kern w:val="0"/>
                <w:sz w:val="24"/>
                <w:szCs w:val="24"/>
              </w:rPr>
            </w:pPr>
            <w:r w:rsidRPr="00E372FB">
              <w:rPr>
                <w:rFonts w:ascii="宋体" w:hAnsi="宋体" w:cs="宋体" w:hint="eastAsia"/>
                <w:b/>
                <w:bCs/>
                <w:color w:val="000000"/>
                <w:kern w:val="0"/>
                <w:sz w:val="24"/>
                <w:szCs w:val="24"/>
              </w:rPr>
              <w:t>5</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 </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1、消防控制中心24小时值班，消防系统设施设备齐全，运行正常，完好无损，可随时起用</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发现一处不符合扣0.5</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2、消防管理人员掌握消防设施设备的使用方法，并能及时处理各种问题</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每发现一人不符合要求扣0.2</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3、组织开展消防法规及消防知识的宣传教育，明确各区域防火责任人</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符合1.0，责任人不明确每发现一处扣0.2</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4、订有突发火灾的应急方案，设立消防疏散示意图，照明设施、引路标志完好，紧急疏散通道畅通</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无应急方案扣0.5，各种标志每缺少一个及每发现一处不畅通扣0.1</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5、无火灾安全隐患</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每发现一处安全隐患扣0.5</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b/>
                <w:bCs/>
                <w:color w:val="000000"/>
                <w:kern w:val="0"/>
                <w:sz w:val="24"/>
                <w:szCs w:val="24"/>
              </w:rPr>
            </w:pPr>
            <w:r w:rsidRPr="00E372FB">
              <w:rPr>
                <w:rFonts w:ascii="宋体" w:hAnsi="宋体" w:cs="宋体" w:hint="eastAsia"/>
                <w:b/>
                <w:bCs/>
                <w:color w:val="000000"/>
                <w:kern w:val="0"/>
                <w:sz w:val="24"/>
                <w:szCs w:val="24"/>
              </w:rPr>
              <w:t>（五）电梯系统</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b/>
                <w:bCs/>
                <w:color w:val="000000"/>
                <w:kern w:val="0"/>
                <w:sz w:val="24"/>
                <w:szCs w:val="24"/>
              </w:rPr>
            </w:pPr>
            <w:r w:rsidRPr="00E372FB">
              <w:rPr>
                <w:rFonts w:ascii="宋体" w:hAnsi="宋体" w:cs="宋体" w:hint="eastAsia"/>
                <w:b/>
                <w:bCs/>
                <w:color w:val="000000"/>
                <w:kern w:val="0"/>
                <w:sz w:val="24"/>
                <w:szCs w:val="24"/>
              </w:rPr>
              <w:t>6</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 </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1、电梯准用证、年检合格证、维修保养合同完备</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2、电梯按规定或约定时间运行，安全设施齐全，通风、照明及附属设施完好</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每发现一处不符合扣0.2</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3、轿厢、井道、机房保持清洁</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轿厢应干净，井道应清洁、无垃圾杂物，机房门道槽应无杂物，发现一起不合格扣0.2</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4、电梯由专业队伍维修保养，维修、保养人员持证上岗</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5、运行出现故障后，维修人员应在规定时间内到达现场维修</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6、运行出现险情后，应有排除险情的应急处理措施</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b/>
                <w:bCs/>
                <w:color w:val="000000"/>
                <w:kern w:val="0"/>
                <w:sz w:val="24"/>
                <w:szCs w:val="24"/>
              </w:rPr>
            </w:pPr>
            <w:r w:rsidRPr="00E372FB">
              <w:rPr>
                <w:rFonts w:ascii="宋体" w:hAnsi="宋体" w:cs="宋体" w:hint="eastAsia"/>
                <w:b/>
                <w:bCs/>
                <w:color w:val="000000"/>
                <w:kern w:val="0"/>
                <w:sz w:val="24"/>
                <w:szCs w:val="24"/>
              </w:rPr>
              <w:t>（六）排水系统</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b/>
                <w:bCs/>
                <w:color w:val="000000"/>
                <w:kern w:val="0"/>
                <w:sz w:val="24"/>
                <w:szCs w:val="24"/>
              </w:rPr>
            </w:pPr>
            <w:r w:rsidRPr="00E372FB">
              <w:rPr>
                <w:rFonts w:ascii="宋体" w:hAnsi="宋体" w:cs="宋体" w:hint="eastAsia"/>
                <w:b/>
                <w:bCs/>
                <w:color w:val="000000"/>
                <w:kern w:val="0"/>
                <w:sz w:val="24"/>
                <w:szCs w:val="24"/>
              </w:rPr>
              <w:t>9</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 </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1、建立大厦用水、供水管理制度，积极协助用户安排合理的用水和节水计划</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符合1.0，基本符合0.5，不符合0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2、设备、阀门、管道工作正常，</w:t>
            </w:r>
            <w:r w:rsidRPr="00E372FB">
              <w:rPr>
                <w:rFonts w:ascii="宋体" w:hAnsi="宋体" w:cs="宋体" w:hint="eastAsia"/>
                <w:color w:val="000000"/>
                <w:kern w:val="0"/>
                <w:sz w:val="24"/>
                <w:szCs w:val="24"/>
              </w:rPr>
              <w:lastRenderedPageBreak/>
              <w:t>无跑、冒、滴、漏</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lastRenderedPageBreak/>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每发现一处不符合扣0.2</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3、按规定对二次供水设施设备维护保养</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2</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符合2.0，每发现一项不符合扣0.5</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4、高压水泵、水池、水箱有严格的管理措施，水池、水箱周围无污染隐患</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 xml:space="preserve"> 没有管理措施扣0.5，水箱周围每发现一处隐患扣0.2</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5、限水、停水按规定时间通知住用户</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符合1.0，基本符合0.5，不符合0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6、排水系统通畅，汛期道路无积水，地下室、车库、设备房无积水、浸泡发生</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符合1.0，每发现一处不符合扣0.2</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7、遇有事故，维修人员在规定时间内进行抢修，无大面积跑水、泛水、长时间停水现象</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符合1.0，基本符合0.5，不符合0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8、制定事故应急处理方案</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无处理方案扣1.0，方案不完善扣0.5</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b/>
                <w:bCs/>
                <w:color w:val="000000"/>
                <w:kern w:val="0"/>
                <w:sz w:val="24"/>
                <w:szCs w:val="24"/>
              </w:rPr>
            </w:pPr>
            <w:r w:rsidRPr="00E372FB">
              <w:rPr>
                <w:rFonts w:ascii="宋体" w:hAnsi="宋体" w:cs="宋体" w:hint="eastAsia"/>
                <w:b/>
                <w:bCs/>
                <w:color w:val="000000"/>
                <w:kern w:val="0"/>
                <w:sz w:val="24"/>
                <w:szCs w:val="24"/>
              </w:rPr>
              <w:t>（七）空调系统</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b/>
                <w:bCs/>
                <w:color w:val="000000"/>
                <w:kern w:val="0"/>
                <w:sz w:val="24"/>
                <w:szCs w:val="24"/>
              </w:rPr>
            </w:pPr>
            <w:r w:rsidRPr="00E372FB">
              <w:rPr>
                <w:rFonts w:ascii="宋体" w:hAnsi="宋体" w:cs="宋体" w:hint="eastAsia"/>
                <w:b/>
                <w:bCs/>
                <w:color w:val="000000"/>
                <w:kern w:val="0"/>
                <w:sz w:val="24"/>
                <w:szCs w:val="24"/>
              </w:rPr>
              <w:t>3</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 </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1、中央空调系统运行正常，水塔运行正常且噪音不超标，无严重滴漏水现象</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符合1.0，基本符合0.5，不符合0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2、中央空调系统出现运行故障后，维修人员在规定时间内到达现场维修</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符合1.0，基本符合0.5，不符合0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3、制订中央空调发生故障应急处理方案</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无应急处理方案扣1.0，有方案但不完善或执行不够的扣0.5</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445"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 </w:t>
            </w: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b/>
                <w:bCs/>
                <w:color w:val="000000"/>
                <w:kern w:val="0"/>
                <w:sz w:val="24"/>
                <w:szCs w:val="24"/>
              </w:rPr>
            </w:pPr>
            <w:r w:rsidRPr="00E372FB">
              <w:rPr>
                <w:rFonts w:ascii="宋体" w:hAnsi="宋体" w:cs="宋体" w:hint="eastAsia"/>
                <w:b/>
                <w:bCs/>
                <w:color w:val="000000"/>
                <w:kern w:val="0"/>
                <w:sz w:val="24"/>
                <w:szCs w:val="24"/>
              </w:rPr>
              <w:t>（八）供暖供气系统</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b/>
                <w:bCs/>
                <w:color w:val="000000"/>
                <w:kern w:val="0"/>
                <w:sz w:val="24"/>
                <w:szCs w:val="24"/>
              </w:rPr>
            </w:pPr>
            <w:r w:rsidRPr="00E372FB">
              <w:rPr>
                <w:rFonts w:ascii="宋体" w:hAnsi="宋体" w:cs="宋体" w:hint="eastAsia"/>
                <w:b/>
                <w:bCs/>
                <w:color w:val="000000"/>
                <w:kern w:val="0"/>
                <w:sz w:val="24"/>
                <w:szCs w:val="24"/>
              </w:rPr>
              <w:t>2</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 </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1、锅炉供暖设备、煤气设备、燃气设备完好，运行正常</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trHeight w:val="315"/>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2、管道、阀门无跑、冒、滴、漏现象及事故隐患</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每发现一处不符合扣0.2</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44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b/>
                <w:bCs/>
                <w:color w:val="000000"/>
                <w:kern w:val="0"/>
                <w:sz w:val="24"/>
                <w:szCs w:val="24"/>
              </w:rPr>
            </w:pPr>
            <w:r w:rsidRPr="00E372FB">
              <w:rPr>
                <w:rFonts w:ascii="宋体" w:hAnsi="宋体" w:cs="宋体" w:hint="eastAsia"/>
                <w:b/>
                <w:bCs/>
                <w:color w:val="000000"/>
                <w:kern w:val="0"/>
                <w:sz w:val="24"/>
                <w:szCs w:val="24"/>
              </w:rPr>
              <w:t>四</w:t>
            </w: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b/>
                <w:bCs/>
                <w:color w:val="000000"/>
                <w:kern w:val="0"/>
                <w:sz w:val="24"/>
                <w:szCs w:val="24"/>
              </w:rPr>
            </w:pPr>
            <w:r w:rsidRPr="00E372FB">
              <w:rPr>
                <w:rFonts w:ascii="宋体" w:hAnsi="宋体" w:cs="宋体" w:hint="eastAsia"/>
                <w:b/>
                <w:bCs/>
                <w:color w:val="000000"/>
                <w:kern w:val="0"/>
                <w:sz w:val="24"/>
                <w:szCs w:val="24"/>
              </w:rPr>
              <w:t>共用设施管理</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b/>
                <w:bCs/>
                <w:color w:val="000000"/>
                <w:kern w:val="0"/>
                <w:sz w:val="24"/>
                <w:szCs w:val="24"/>
              </w:rPr>
            </w:pPr>
            <w:r w:rsidRPr="00E372FB">
              <w:rPr>
                <w:rFonts w:ascii="宋体" w:hAnsi="宋体" w:cs="宋体" w:hint="eastAsia"/>
                <w:b/>
                <w:bCs/>
                <w:color w:val="000000"/>
                <w:kern w:val="0"/>
                <w:sz w:val="24"/>
                <w:szCs w:val="24"/>
              </w:rPr>
              <w:t>4</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 </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445"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1、共用配套服务设施完好，无随意改变用途</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符合1.0，每发现一处不符合扣0.2</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2、共用管线统一下地或入公共管道，无架空管线，无碍观瞻</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符合1.0，每发现一处不符合扣0.2</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3、道路、楼道、大堂等公共照明完好</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符合1.0，每发现一处不亮扣0.2</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4、大厦范围内的道路通畅，路面平坦</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符合1.0，每发现一处不符合扣0.2</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44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b/>
                <w:bCs/>
                <w:color w:val="000000"/>
                <w:kern w:val="0"/>
                <w:sz w:val="24"/>
                <w:szCs w:val="24"/>
              </w:rPr>
            </w:pPr>
            <w:r w:rsidRPr="00E372FB">
              <w:rPr>
                <w:rFonts w:ascii="宋体" w:hAnsi="宋体" w:cs="宋体" w:hint="eastAsia"/>
                <w:b/>
                <w:bCs/>
                <w:color w:val="000000"/>
                <w:kern w:val="0"/>
                <w:sz w:val="24"/>
                <w:szCs w:val="24"/>
              </w:rPr>
              <w:t>五</w:t>
            </w: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b/>
                <w:bCs/>
                <w:color w:val="000000"/>
                <w:kern w:val="0"/>
                <w:sz w:val="24"/>
                <w:szCs w:val="24"/>
              </w:rPr>
            </w:pPr>
            <w:r w:rsidRPr="00E372FB">
              <w:rPr>
                <w:rFonts w:ascii="宋体" w:hAnsi="宋体" w:cs="宋体" w:hint="eastAsia"/>
                <w:b/>
                <w:bCs/>
                <w:color w:val="000000"/>
                <w:kern w:val="0"/>
                <w:sz w:val="24"/>
                <w:szCs w:val="24"/>
              </w:rPr>
              <w:t>秩序维护及车辆管理</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b/>
                <w:bCs/>
                <w:color w:val="000000"/>
                <w:kern w:val="0"/>
                <w:sz w:val="24"/>
                <w:szCs w:val="24"/>
              </w:rPr>
            </w:pPr>
            <w:r w:rsidRPr="00E372FB">
              <w:rPr>
                <w:rFonts w:ascii="宋体" w:hAnsi="宋体" w:cs="宋体" w:hint="eastAsia"/>
                <w:b/>
                <w:bCs/>
                <w:color w:val="000000"/>
                <w:kern w:val="0"/>
                <w:sz w:val="24"/>
                <w:szCs w:val="24"/>
              </w:rPr>
              <w:t>9</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 </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445"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1、大厦基本实行封闭式管理</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2、有专业秩序维护队伍，实行</w:t>
            </w:r>
            <w:r w:rsidRPr="00E372FB">
              <w:rPr>
                <w:rFonts w:ascii="宋体" w:hAnsi="宋体" w:cs="宋体" w:hint="eastAsia"/>
                <w:color w:val="000000"/>
                <w:kern w:val="0"/>
                <w:sz w:val="24"/>
                <w:szCs w:val="24"/>
              </w:rPr>
              <w:lastRenderedPageBreak/>
              <w:t>24小时值班及巡逻制度；秩序维护人员熟悉大厦的环境，文明值勤，训练有素，言语规范，认真负责</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lastRenderedPageBreak/>
              <w:t>2</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符合2.0，无专业秩序维护</w:t>
            </w:r>
            <w:r w:rsidRPr="00E372FB">
              <w:rPr>
                <w:rFonts w:ascii="宋体" w:hAnsi="宋体" w:cs="宋体" w:hint="eastAsia"/>
                <w:color w:val="000000"/>
                <w:kern w:val="0"/>
                <w:sz w:val="24"/>
                <w:szCs w:val="24"/>
              </w:rPr>
              <w:lastRenderedPageBreak/>
              <w:t>队伍扣1.0，值班及巡逻记录等不规范每处扣0.2</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3、结合大厦特点，制订安全防范措施</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对特殊的部位要有相应的防范措施，每发现一处无防范措施扣0.2</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4、进出大厦各种车辆管理有序，无堵塞交通现象，不影响行人通行</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符合1.0，基本符合0.5，不符合扣0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5、大厦外停车场有专人疏导，管理有序，排列整齐</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符合1.0，基本符合0.5，不符合0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6、室内停车场管理严格，出入登记</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符合1.0，基本符合0.5，不符合0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7、非机动车辆有集中停放场地，管理制度落实，停放整齐，场地整洁</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符合1.0，基本符合0.5，不符合0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8、危及人身安全处设有明显标志和防范措施</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44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b/>
                <w:bCs/>
                <w:color w:val="000000"/>
                <w:kern w:val="0"/>
                <w:sz w:val="24"/>
                <w:szCs w:val="24"/>
              </w:rPr>
            </w:pPr>
            <w:r w:rsidRPr="00E372FB">
              <w:rPr>
                <w:rFonts w:ascii="宋体" w:hAnsi="宋体" w:cs="宋体" w:hint="eastAsia"/>
                <w:b/>
                <w:bCs/>
                <w:color w:val="000000"/>
                <w:kern w:val="0"/>
                <w:sz w:val="24"/>
                <w:szCs w:val="24"/>
              </w:rPr>
              <w:t>六</w:t>
            </w: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b/>
                <w:bCs/>
                <w:color w:val="000000"/>
                <w:kern w:val="0"/>
                <w:sz w:val="24"/>
                <w:szCs w:val="24"/>
              </w:rPr>
            </w:pPr>
            <w:r w:rsidRPr="00E372FB">
              <w:rPr>
                <w:rFonts w:ascii="宋体" w:hAnsi="宋体" w:cs="宋体" w:hint="eastAsia"/>
                <w:b/>
                <w:bCs/>
                <w:color w:val="000000"/>
                <w:kern w:val="0"/>
                <w:sz w:val="24"/>
                <w:szCs w:val="24"/>
              </w:rPr>
              <w:t>环境卫生管理</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b/>
                <w:bCs/>
                <w:color w:val="000000"/>
                <w:kern w:val="0"/>
                <w:sz w:val="24"/>
                <w:szCs w:val="24"/>
              </w:rPr>
            </w:pPr>
            <w:r w:rsidRPr="00E372FB">
              <w:rPr>
                <w:rFonts w:ascii="宋体" w:hAnsi="宋体" w:cs="宋体" w:hint="eastAsia"/>
                <w:b/>
                <w:bCs/>
                <w:color w:val="000000"/>
                <w:kern w:val="0"/>
                <w:sz w:val="24"/>
                <w:szCs w:val="24"/>
              </w:rPr>
              <w:t>8</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 </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445"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1、环卫设施完备，设有垃圾箱、果皮箱、垃圾中转站</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符合1.0，每发现一处不符合扣0.2</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2、清洁卫生实行责任制，有专职清洁人员和明确的责任范围，实行标准化清洁保洁</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未实行责任制的扣0.5，无专职清洁人员和责任范围的扣0.3，未实行标准化保洁的扣0.2</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3、垃圾日产日清，定期进行卫生消毒灭杀</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2</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每发现一处垃圾扣0.2，未达到垃圾日产日清的扣0.5，未定期进行卫生消毒灭杀扣0.5</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4、房屋共用部位保持清洁，无乱贴、乱画，无擅自占用和堆放杂物现象；大堂、楼梯扶栏、天台、共用玻璃窗等保持洁净；大厦内共用场地无纸团、烟头等明显废弃物</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符合1.0，每发现一处不符合扣0.1</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5、商业网点管理有序，符合卫生标准；无乱设摊点、广告牌和乱贴、乱画现象</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符合1.0，每发现一处不符合扣0.1</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6、无违反规定饲养宠物、家禽、家畜</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7、大厦内排烟、排污、噪声等符合国家环保标准，外墙无污染</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每发现一处不合格扣0.2，发现一次环保部门下放整</w:t>
            </w:r>
            <w:r w:rsidRPr="00E372FB">
              <w:rPr>
                <w:rFonts w:ascii="宋体" w:hAnsi="宋体" w:cs="宋体" w:hint="eastAsia"/>
                <w:color w:val="000000"/>
                <w:kern w:val="0"/>
                <w:sz w:val="24"/>
                <w:szCs w:val="24"/>
              </w:rPr>
              <w:lastRenderedPageBreak/>
              <w:t>改通知扣0.5</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44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b/>
                <w:bCs/>
                <w:color w:val="000000"/>
                <w:kern w:val="0"/>
                <w:sz w:val="24"/>
                <w:szCs w:val="24"/>
              </w:rPr>
            </w:pPr>
            <w:r w:rsidRPr="00E372FB">
              <w:rPr>
                <w:rFonts w:ascii="宋体" w:hAnsi="宋体" w:cs="宋体" w:hint="eastAsia"/>
                <w:b/>
                <w:bCs/>
                <w:color w:val="000000"/>
                <w:kern w:val="0"/>
                <w:sz w:val="24"/>
                <w:szCs w:val="24"/>
              </w:rPr>
              <w:lastRenderedPageBreak/>
              <w:t>七</w:t>
            </w: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b/>
                <w:bCs/>
                <w:color w:val="000000"/>
                <w:kern w:val="0"/>
                <w:sz w:val="24"/>
                <w:szCs w:val="24"/>
              </w:rPr>
            </w:pPr>
            <w:r w:rsidRPr="00E372FB">
              <w:rPr>
                <w:rFonts w:ascii="宋体" w:hAnsi="宋体" w:cs="宋体" w:hint="eastAsia"/>
                <w:b/>
                <w:bCs/>
                <w:color w:val="000000"/>
                <w:kern w:val="0"/>
                <w:sz w:val="24"/>
                <w:szCs w:val="24"/>
              </w:rPr>
              <w:t>绿化管理</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b/>
                <w:bCs/>
                <w:color w:val="000000"/>
                <w:kern w:val="0"/>
                <w:sz w:val="24"/>
                <w:szCs w:val="24"/>
              </w:rPr>
            </w:pPr>
            <w:r w:rsidRPr="00E372FB">
              <w:rPr>
                <w:rFonts w:ascii="宋体" w:hAnsi="宋体" w:cs="宋体" w:hint="eastAsia"/>
                <w:b/>
                <w:bCs/>
                <w:color w:val="000000"/>
                <w:kern w:val="0"/>
                <w:sz w:val="24"/>
                <w:szCs w:val="24"/>
              </w:rPr>
              <w:t>4</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 </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trHeight w:val="595"/>
          <w:jc w:val="center"/>
        </w:trPr>
        <w:tc>
          <w:tcPr>
            <w:tcW w:w="445"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1、绿地无改变使用用途和破坏、践踏、占用现象</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符合1.0，基本符合0.5，不符合0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2、花草树木长势良好，修剪整齐美观，无病虫害，无折损现象，无斑秃</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长势不好扣1.0，每发现一处不符合扣0.1分</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3、绿地无纸团、烟头、石块等杂物</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符合1.0，每发现一处不符合扣0.1</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4、对大厦内部、天台、屋顶等绿化有管理措施并落实</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无措施扣1.0；有措施，落实不力扣0.5</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44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b/>
                <w:bCs/>
                <w:color w:val="000000"/>
                <w:kern w:val="0"/>
                <w:sz w:val="24"/>
                <w:szCs w:val="24"/>
              </w:rPr>
            </w:pPr>
            <w:r w:rsidRPr="00E372FB">
              <w:rPr>
                <w:rFonts w:ascii="宋体" w:hAnsi="宋体" w:cs="宋体" w:hint="eastAsia"/>
                <w:b/>
                <w:bCs/>
                <w:color w:val="000000"/>
                <w:kern w:val="0"/>
                <w:sz w:val="24"/>
                <w:szCs w:val="24"/>
              </w:rPr>
              <w:t>八</w:t>
            </w: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b/>
                <w:bCs/>
                <w:color w:val="000000"/>
                <w:kern w:val="0"/>
                <w:sz w:val="24"/>
                <w:szCs w:val="24"/>
              </w:rPr>
            </w:pPr>
            <w:r w:rsidRPr="00E372FB">
              <w:rPr>
                <w:rFonts w:ascii="宋体" w:hAnsi="宋体" w:cs="宋体" w:hint="eastAsia"/>
                <w:b/>
                <w:bCs/>
                <w:color w:val="000000"/>
                <w:kern w:val="0"/>
                <w:sz w:val="24"/>
                <w:szCs w:val="24"/>
              </w:rPr>
              <w:t>行业及文明建设</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b/>
                <w:bCs/>
                <w:color w:val="000000"/>
                <w:kern w:val="0"/>
                <w:sz w:val="24"/>
                <w:szCs w:val="24"/>
              </w:rPr>
            </w:pPr>
            <w:r w:rsidRPr="00E372FB">
              <w:rPr>
                <w:rFonts w:ascii="宋体" w:hAnsi="宋体" w:cs="宋体" w:hint="eastAsia"/>
                <w:b/>
                <w:bCs/>
                <w:color w:val="000000"/>
                <w:kern w:val="0"/>
                <w:sz w:val="24"/>
                <w:szCs w:val="24"/>
              </w:rPr>
              <w:t>2</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 </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445"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1、设有学习宣传园地、开展健康向上的活动，全体业主和使用人能自觉维护公众利益，遵守大厦的各项管理规定</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符合1.0，基本符合0.5，不符合0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2、大厦内的公共娱乐场所未发生重大违纪违法案件</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符合1.0，基本符合0.5，不符合0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44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b/>
                <w:bCs/>
                <w:color w:val="000000"/>
                <w:kern w:val="0"/>
                <w:sz w:val="24"/>
                <w:szCs w:val="24"/>
              </w:rPr>
            </w:pPr>
            <w:r w:rsidRPr="00E372FB">
              <w:rPr>
                <w:rFonts w:ascii="宋体" w:hAnsi="宋体" w:cs="宋体" w:hint="eastAsia"/>
                <w:b/>
                <w:bCs/>
                <w:color w:val="000000"/>
                <w:kern w:val="0"/>
                <w:sz w:val="24"/>
                <w:szCs w:val="24"/>
              </w:rPr>
              <w:t>九</w:t>
            </w: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b/>
                <w:bCs/>
                <w:color w:val="000000"/>
                <w:kern w:val="0"/>
                <w:sz w:val="24"/>
                <w:szCs w:val="24"/>
              </w:rPr>
            </w:pPr>
            <w:r w:rsidRPr="00E372FB">
              <w:rPr>
                <w:rFonts w:ascii="宋体" w:hAnsi="宋体" w:cs="宋体" w:hint="eastAsia"/>
                <w:b/>
                <w:bCs/>
                <w:color w:val="000000"/>
                <w:kern w:val="0"/>
                <w:sz w:val="24"/>
                <w:szCs w:val="24"/>
              </w:rPr>
              <w:t>管理效益</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b/>
                <w:bCs/>
                <w:color w:val="000000"/>
                <w:kern w:val="0"/>
                <w:sz w:val="24"/>
                <w:szCs w:val="24"/>
              </w:rPr>
            </w:pPr>
            <w:r w:rsidRPr="00E372FB">
              <w:rPr>
                <w:rFonts w:ascii="宋体" w:hAnsi="宋体" w:cs="宋体" w:hint="eastAsia"/>
                <w:b/>
                <w:bCs/>
                <w:color w:val="000000"/>
                <w:kern w:val="0"/>
                <w:sz w:val="24"/>
                <w:szCs w:val="24"/>
              </w:rPr>
              <w:t>2</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 </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trHeight w:val="285"/>
          <w:jc w:val="center"/>
        </w:trPr>
        <w:tc>
          <w:tcPr>
            <w:tcW w:w="445"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1、物业管理服务费用收缴率90%以上</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每降低1个百分点扣0.5</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2、本大厦物业管理经营状况</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1</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盈利1.0，持平0.5，亏本0</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jc w:val="center"/>
        </w:trPr>
        <w:tc>
          <w:tcPr>
            <w:tcW w:w="44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十</w:t>
            </w: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Cs w:val="21"/>
              </w:rPr>
              <w:t>行业活动参与</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b/>
                <w:bCs/>
                <w:color w:val="000000"/>
                <w:kern w:val="0"/>
                <w:sz w:val="24"/>
                <w:szCs w:val="24"/>
              </w:rPr>
              <w:t>4</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trHeight w:val="610"/>
          <w:jc w:val="center"/>
        </w:trPr>
        <w:tc>
          <w:tcPr>
            <w:tcW w:w="445" w:type="dxa"/>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372FB" w:rsidRPr="00E372FB" w:rsidRDefault="00E372FB" w:rsidP="00E372FB">
            <w:pPr>
              <w:widowControl/>
              <w:snapToGrid w:val="0"/>
              <w:spacing w:line="280" w:lineRule="atLeast"/>
              <w:rPr>
                <w:rFonts w:ascii="宋体" w:hAnsi="宋体" w:cs="宋体"/>
                <w:color w:val="000000"/>
                <w:kern w:val="0"/>
                <w:sz w:val="24"/>
                <w:szCs w:val="24"/>
              </w:rPr>
            </w:pPr>
          </w:p>
          <w:p w:rsidR="00E372FB" w:rsidRPr="00E372FB" w:rsidRDefault="00E372FB" w:rsidP="00E372FB">
            <w:pPr>
              <w:widowControl/>
              <w:snapToGrid w:val="0"/>
              <w:spacing w:line="280" w:lineRule="atLeas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1、积极参加行业组织的各项活动</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2</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参与当年活动的1分，参与并获得荣誉的2分，缺席一次扣0.5</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r w:rsidR="00E372FB" w:rsidRPr="00E372FB" w:rsidTr="00E372FB">
        <w:trPr>
          <w:trHeight w:val="660"/>
          <w:jc w:val="center"/>
        </w:trPr>
        <w:tc>
          <w:tcPr>
            <w:tcW w:w="0" w:type="auto"/>
            <w:vMerge/>
            <w:tcBorders>
              <w:top w:val="nil"/>
              <w:left w:val="single" w:sz="4" w:space="0" w:color="000000"/>
              <w:bottom w:val="single" w:sz="4" w:space="0" w:color="000000"/>
              <w:right w:val="single" w:sz="4" w:space="0" w:color="000000"/>
            </w:tcBorders>
            <w:vAlign w:val="center"/>
            <w:hideMark/>
          </w:tcPr>
          <w:p w:rsidR="00E372FB" w:rsidRPr="00E372FB" w:rsidRDefault="00E372FB" w:rsidP="00E372FB">
            <w:pPr>
              <w:widowControl/>
              <w:spacing w:line="240" w:lineRule="auto"/>
              <w:jc w:val="left"/>
              <w:rPr>
                <w:rFonts w:ascii="宋体" w:hAnsi="宋体" w:cs="宋体"/>
                <w:color w:val="000000"/>
                <w:kern w:val="0"/>
                <w:sz w:val="24"/>
                <w:szCs w:val="24"/>
              </w:rPr>
            </w:pPr>
          </w:p>
        </w:tc>
        <w:tc>
          <w:tcPr>
            <w:tcW w:w="4231"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2、积极配合行业开展的调查研究，报送研究所需的各项资料，</w:t>
            </w:r>
            <w:r w:rsidRPr="00E372FB">
              <w:rPr>
                <w:rFonts w:ascii="宋体" w:hAnsi="宋体" w:cs="宋体" w:hint="eastAsia"/>
                <w:color w:val="000000"/>
                <w:kern w:val="0"/>
                <w:szCs w:val="21"/>
              </w:rPr>
              <w:t>积极向协会投稿</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jc w:val="center"/>
              <w:rPr>
                <w:rFonts w:ascii="宋体" w:hAnsi="宋体" w:cs="宋体"/>
                <w:color w:val="000000"/>
                <w:kern w:val="0"/>
                <w:sz w:val="24"/>
                <w:szCs w:val="24"/>
              </w:rPr>
            </w:pPr>
            <w:r w:rsidRPr="00E372FB">
              <w:rPr>
                <w:rFonts w:ascii="宋体" w:hAnsi="宋体" w:cs="宋体" w:hint="eastAsia"/>
                <w:color w:val="000000"/>
                <w:kern w:val="0"/>
                <w:sz w:val="24"/>
                <w:szCs w:val="24"/>
              </w:rPr>
              <w:t>2</w:t>
            </w:r>
          </w:p>
        </w:tc>
        <w:tc>
          <w:tcPr>
            <w:tcW w:w="3599"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r w:rsidRPr="00E372FB">
              <w:rPr>
                <w:rFonts w:ascii="宋体" w:hAnsi="宋体" w:cs="宋体" w:hint="eastAsia"/>
                <w:color w:val="000000"/>
                <w:kern w:val="0"/>
                <w:sz w:val="24"/>
                <w:szCs w:val="24"/>
              </w:rPr>
              <w:t>报送材料1分，漏报一次0.5；当年有投稿1分，未投0分</w:t>
            </w:r>
          </w:p>
        </w:tc>
        <w:tc>
          <w:tcPr>
            <w:tcW w:w="720" w:type="dxa"/>
            <w:tcBorders>
              <w:top w:val="nil"/>
              <w:left w:val="nil"/>
              <w:bottom w:val="single" w:sz="4" w:space="0" w:color="000000"/>
              <w:right w:val="single" w:sz="4" w:space="0" w:color="000000"/>
            </w:tcBorders>
            <w:tcMar>
              <w:top w:w="0" w:type="dxa"/>
              <w:left w:w="108" w:type="dxa"/>
              <w:bottom w:w="0" w:type="dxa"/>
              <w:right w:w="108" w:type="dxa"/>
            </w:tcMar>
            <w:hideMark/>
          </w:tcPr>
          <w:p w:rsidR="00E372FB" w:rsidRPr="00E372FB" w:rsidRDefault="00E372FB" w:rsidP="00E372FB">
            <w:pPr>
              <w:widowControl/>
              <w:snapToGrid w:val="0"/>
              <w:spacing w:line="280" w:lineRule="atLeast"/>
              <w:rPr>
                <w:rFonts w:ascii="宋体" w:hAnsi="宋体" w:cs="宋体"/>
                <w:color w:val="000000"/>
                <w:kern w:val="0"/>
                <w:sz w:val="24"/>
                <w:szCs w:val="24"/>
              </w:rPr>
            </w:pPr>
          </w:p>
        </w:tc>
      </w:tr>
    </w:tbl>
    <w:p w:rsidR="00E372FB" w:rsidRPr="00E372FB" w:rsidRDefault="00E372FB" w:rsidP="00E372FB">
      <w:pPr>
        <w:widowControl/>
        <w:snapToGrid w:val="0"/>
        <w:spacing w:line="240" w:lineRule="auto"/>
        <w:rPr>
          <w:rFonts w:ascii="宋体" w:hAnsi="宋体" w:cs="宋体"/>
          <w:color w:val="000000"/>
          <w:kern w:val="0"/>
          <w:sz w:val="24"/>
          <w:szCs w:val="24"/>
        </w:rPr>
      </w:pPr>
    </w:p>
    <w:p w:rsidR="00E372FB" w:rsidRPr="00E372FB" w:rsidRDefault="00E372FB" w:rsidP="00E372FB">
      <w:pPr>
        <w:widowControl/>
        <w:snapToGrid w:val="0"/>
        <w:spacing w:line="240" w:lineRule="auto"/>
        <w:rPr>
          <w:rFonts w:ascii="宋体" w:hAnsi="宋体" w:cs="宋体" w:hint="eastAsia"/>
          <w:color w:val="000000"/>
          <w:kern w:val="0"/>
          <w:sz w:val="24"/>
          <w:szCs w:val="24"/>
        </w:rPr>
      </w:pPr>
    </w:p>
    <w:p w:rsidR="00E372FB" w:rsidRPr="00E372FB" w:rsidRDefault="00E372FB" w:rsidP="00E372FB">
      <w:pPr>
        <w:widowControl/>
        <w:snapToGrid w:val="0"/>
        <w:spacing w:line="240" w:lineRule="auto"/>
        <w:rPr>
          <w:rFonts w:ascii="宋体" w:hAnsi="宋体" w:cs="宋体" w:hint="eastAsia"/>
          <w:color w:val="000000"/>
          <w:kern w:val="0"/>
          <w:sz w:val="24"/>
          <w:szCs w:val="24"/>
        </w:rPr>
      </w:pPr>
    </w:p>
    <w:p w:rsidR="00E372FB" w:rsidRPr="00E372FB" w:rsidRDefault="00E372FB" w:rsidP="00E372FB">
      <w:pPr>
        <w:widowControl/>
        <w:snapToGrid w:val="0"/>
        <w:spacing w:line="240" w:lineRule="auto"/>
        <w:rPr>
          <w:rFonts w:ascii="宋体" w:hAnsi="宋体" w:cs="宋体" w:hint="eastAsia"/>
          <w:color w:val="000000"/>
          <w:kern w:val="0"/>
          <w:sz w:val="24"/>
          <w:szCs w:val="24"/>
        </w:rPr>
      </w:pPr>
    </w:p>
    <w:p w:rsidR="00E372FB" w:rsidRPr="00E372FB" w:rsidRDefault="00E372FB" w:rsidP="00E372FB">
      <w:pPr>
        <w:widowControl/>
        <w:snapToGrid w:val="0"/>
        <w:spacing w:line="300" w:lineRule="auto"/>
        <w:jc w:val="left"/>
        <w:rPr>
          <w:rFonts w:ascii="仿宋" w:eastAsia="仿宋" w:hAnsi="仿宋" w:cs="宋体" w:hint="eastAsia"/>
          <w:kern w:val="0"/>
          <w:sz w:val="28"/>
          <w:szCs w:val="28"/>
        </w:rPr>
      </w:pPr>
    </w:p>
    <w:p w:rsidR="00EE2A32" w:rsidRDefault="00E372FB"/>
    <w:sectPr w:rsidR="00EE2A32" w:rsidSect="00B715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72FB"/>
    <w:rsid w:val="000F563B"/>
    <w:rsid w:val="00255092"/>
    <w:rsid w:val="00325D80"/>
    <w:rsid w:val="008B3794"/>
    <w:rsid w:val="00B631B3"/>
    <w:rsid w:val="00B715DB"/>
    <w:rsid w:val="00BE4AD6"/>
    <w:rsid w:val="00E372FB"/>
    <w:rsid w:val="00F466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AD6"/>
    <w:pPr>
      <w:widowControl w:val="0"/>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0"/>
    <w:basedOn w:val="a"/>
    <w:rsid w:val="00E372FB"/>
    <w:pPr>
      <w:widowControl/>
      <w:snapToGrid w:val="0"/>
      <w:spacing w:line="240" w:lineRule="auto"/>
    </w:pPr>
    <w:rPr>
      <w:rFonts w:ascii="Calibri" w:hAnsi="Calibri" w:cs="宋体"/>
      <w:kern w:val="0"/>
      <w:szCs w:val="21"/>
    </w:rPr>
  </w:style>
  <w:style w:type="character" w:customStyle="1" w:styleId="15">
    <w:name w:val="15"/>
    <w:basedOn w:val="a0"/>
    <w:rsid w:val="00E372FB"/>
    <w:rPr>
      <w:rFonts w:ascii="Calibri" w:hAnsi="Calibri" w:hint="default"/>
      <w:b/>
      <w:bCs/>
      <w:sz w:val="20"/>
      <w:szCs w:val="20"/>
    </w:rPr>
  </w:style>
  <w:style w:type="character" w:styleId="a3">
    <w:name w:val="Hyperlink"/>
    <w:basedOn w:val="a0"/>
    <w:uiPriority w:val="99"/>
    <w:semiHidden/>
    <w:unhideWhenUsed/>
    <w:rsid w:val="00E372FB"/>
    <w:rPr>
      <w:color w:val="0000FF"/>
      <w:u w:val="single"/>
    </w:rPr>
  </w:style>
</w:styles>
</file>

<file path=word/webSettings.xml><?xml version="1.0" encoding="utf-8"?>
<w:webSettings xmlns:r="http://schemas.openxmlformats.org/officeDocument/2006/relationships" xmlns:w="http://schemas.openxmlformats.org/wordprocessingml/2006/main">
  <w:divs>
    <w:div w:id="1951353448">
      <w:bodyDiv w:val="1"/>
      <w:marLeft w:val="0"/>
      <w:marRight w:val="0"/>
      <w:marTop w:val="0"/>
      <w:marBottom w:val="0"/>
      <w:divBdr>
        <w:top w:val="none" w:sz="0" w:space="0" w:color="auto"/>
        <w:left w:val="none" w:sz="0" w:space="0" w:color="auto"/>
        <w:bottom w:val="none" w:sz="0" w:space="0" w:color="auto"/>
        <w:right w:val="none" w:sz="0" w:space="0" w:color="auto"/>
      </w:divBdr>
      <w:divsChild>
        <w:div w:id="1186555203">
          <w:marLeft w:val="1588"/>
          <w:marRight w:val="1588"/>
          <w:marTop w:val="2098"/>
          <w:marBottom w:val="209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dwuye.com/Article/ShowSpecial.asp?SpecialID=2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2019-07-30T07:57:00Z</dcterms:created>
  <dcterms:modified xsi:type="dcterms:W3CDTF">2019-07-30T07:57:00Z</dcterms:modified>
</cp:coreProperties>
</file>